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1B" w:rsidRDefault="002D33F2">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-1094740</wp:posOffset>
                </wp:positionV>
                <wp:extent cx="13106400" cy="10276840"/>
                <wp:effectExtent l="7620" t="6985" r="11430" b="1270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0" cy="10276840"/>
                        </a:xfrm>
                        <a:prstGeom prst="rect">
                          <a:avLst/>
                        </a:prstGeom>
                        <a:solidFill>
                          <a:schemeClr val="accent1">
                            <a:lumMod val="75000"/>
                            <a:lumOff val="0"/>
                          </a:schemeClr>
                        </a:solidFill>
                        <a:ln w="9525">
                          <a:solidFill>
                            <a:srgbClr val="000000"/>
                          </a:solidFill>
                          <a:miter lim="800000"/>
                          <a:headEnd/>
                          <a:tailEnd/>
                        </a:ln>
                      </wps:spPr>
                      <wps:txbx>
                        <w:txbxContent>
                          <w:p w:rsidR="001F3AB7" w:rsidRDefault="001F3AB7" w:rsidP="008C34C3">
                            <w:pPr>
                              <w:rPr>
                                <w:lang w:val="es-ES"/>
                              </w:rPr>
                            </w:pPr>
                          </w:p>
                          <w:p w:rsidR="001F3AB7" w:rsidRDefault="001F3AB7" w:rsidP="008C34C3">
                            <w:pPr>
                              <w:jc w:val="center"/>
                              <w:rPr>
                                <w:lang w:val="es-ES"/>
                              </w:rPr>
                            </w:pPr>
                            <w:r>
                              <w:rPr>
                                <w:noProof/>
                                <w:lang w:val="es-ES" w:eastAsia="es-ES"/>
                              </w:rPr>
                              <w:drawing>
                                <wp:inline distT="0" distB="0" distL="0" distR="0">
                                  <wp:extent cx="4572000" cy="1000125"/>
                                  <wp:effectExtent l="0" t="0" r="0" b="0"/>
                                  <wp:docPr id="2" name="Imagen 1" descr="C:\Users\José Antonio\Desktop\fesacat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 Antonio\Desktop\fesacatlan.png"/>
                                          <pic:cNvPicPr>
                                            <a:picLocks noChangeAspect="1" noChangeArrowheads="1"/>
                                          </pic:cNvPicPr>
                                        </pic:nvPicPr>
                                        <pic:blipFill>
                                          <a:blip r:embed="rId5"/>
                                          <a:srcRect/>
                                          <a:stretch>
                                            <a:fillRect/>
                                          </a:stretch>
                                        </pic:blipFill>
                                        <pic:spPr bwMode="auto">
                                          <a:xfrm>
                                            <a:off x="0" y="0"/>
                                            <a:ext cx="4572000" cy="1000125"/>
                                          </a:xfrm>
                                          <a:prstGeom prst="rect">
                                            <a:avLst/>
                                          </a:prstGeom>
                                          <a:noFill/>
                                          <a:ln w="9525">
                                            <a:noFill/>
                                            <a:miter lim="800000"/>
                                            <a:headEnd/>
                                            <a:tailEnd/>
                                          </a:ln>
                                        </pic:spPr>
                                      </pic:pic>
                                    </a:graphicData>
                                  </a:graphic>
                                </wp:inline>
                              </w:drawing>
                            </w:r>
                          </w:p>
                          <w:p w:rsidR="001F3AB7" w:rsidRDefault="001F3AB7" w:rsidP="008C34C3">
                            <w:pPr>
                              <w:rPr>
                                <w:lang w:val="es-ES"/>
                              </w:rPr>
                            </w:pPr>
                          </w:p>
                          <w:p w:rsidR="001F3AB7" w:rsidRPr="008C34C3" w:rsidRDefault="009A6CC7" w:rsidP="008C34C3">
                            <w:pPr>
                              <w:spacing w:after="0" w:line="240" w:lineRule="auto"/>
                              <w:jc w:val="center"/>
                              <w:rPr>
                                <w:rFonts w:ascii="Times New Roman" w:hAnsi="Times New Roman" w:cs="Times New Roman"/>
                                <w:color w:val="FFFFFF" w:themeColor="background1"/>
                                <w:sz w:val="28"/>
                              </w:rPr>
                            </w:pPr>
                            <w:r>
                              <w:rPr>
                                <w:rFonts w:ascii="Times New Roman" w:hAnsi="Times New Roman" w:cs="Times New Roman"/>
                                <w:color w:val="FFFFFF" w:themeColor="background1"/>
                                <w:sz w:val="28"/>
                              </w:rPr>
                              <w:t>Alumno</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r w:rsidRPr="008C34C3">
                              <w:rPr>
                                <w:rFonts w:ascii="Times New Roman" w:hAnsi="Times New Roman" w:cs="Times New Roman"/>
                                <w:color w:val="FFFFFF" w:themeColor="background1"/>
                                <w:sz w:val="28"/>
                              </w:rPr>
                              <w:t xml:space="preserve">Contacto: </w:t>
                            </w:r>
                            <w:r w:rsidR="009A6CC7">
                              <w:rPr>
                                <w:rFonts w:ascii="Times New Roman" w:hAnsi="Times New Roman" w:cs="Times New Roman"/>
                                <w:color w:val="FFFFFF" w:themeColor="background1"/>
                                <w:sz w:val="28"/>
                              </w:rPr>
                              <w:t>correo@gmail.com</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r w:rsidRPr="008C34C3">
                              <w:rPr>
                                <w:rFonts w:ascii="Times New Roman" w:hAnsi="Times New Roman" w:cs="Times New Roman"/>
                                <w:color w:val="FFFFFF" w:themeColor="background1"/>
                                <w:sz w:val="28"/>
                              </w:rPr>
                              <w:t xml:space="preserve">Licenciatura en Economía </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r w:rsidRPr="008C34C3">
                              <w:rPr>
                                <w:rFonts w:ascii="Times New Roman" w:hAnsi="Times New Roman" w:cs="Times New Roman"/>
                                <w:color w:val="FFFFFF" w:themeColor="background1"/>
                                <w:sz w:val="28"/>
                              </w:rPr>
                              <w:t xml:space="preserve">Tutor de Tesis: </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p>
                          <w:p w:rsidR="001F3AB7" w:rsidRPr="008C34C3" w:rsidRDefault="001F3AB7" w:rsidP="008C34C3">
                            <w:pPr>
                              <w:spacing w:after="0" w:line="240" w:lineRule="auto"/>
                              <w:jc w:val="center"/>
                              <w:rPr>
                                <w:rFonts w:ascii="Times New Roman" w:hAnsi="Times New Roman" w:cs="Times New Roman"/>
                                <w:color w:val="FFFFFF" w:themeColor="background1"/>
                                <w:sz w:val="28"/>
                              </w:rPr>
                            </w:pPr>
                          </w:p>
                          <w:p w:rsidR="001F3AB7" w:rsidRDefault="009A6CC7" w:rsidP="00353571">
                            <w:pPr>
                              <w:spacing w:after="0" w:line="240" w:lineRule="auto"/>
                              <w:ind w:left="1418" w:right="1418"/>
                              <w:jc w:val="center"/>
                              <w:rPr>
                                <w:rFonts w:ascii="Times New Roman" w:hAnsi="Times New Roman" w:cs="Times New Roman"/>
                                <w:color w:val="FFFFFF" w:themeColor="background1"/>
                                <w:sz w:val="32"/>
                              </w:rPr>
                            </w:pPr>
                            <w:r>
                              <w:rPr>
                                <w:rFonts w:ascii="Times New Roman" w:hAnsi="Times New Roman" w:cs="Times New Roman"/>
                                <w:color w:val="FFFFFF" w:themeColor="background1"/>
                                <w:sz w:val="32"/>
                              </w:rPr>
                              <w:t>Título de la investigación</w:t>
                            </w:r>
                            <w:r w:rsidR="001F3AB7">
                              <w:rPr>
                                <w:rFonts w:ascii="Times New Roman" w:hAnsi="Times New Roman" w:cs="Times New Roman"/>
                                <w:color w:val="FFFFFF" w:themeColor="background1"/>
                                <w:sz w:val="32"/>
                              </w:rPr>
                              <w:t xml:space="preserve"> </w:t>
                            </w:r>
                          </w:p>
                          <w:p w:rsidR="001F3AB7" w:rsidRPr="008C34C3" w:rsidRDefault="001F3AB7" w:rsidP="00353571">
                            <w:pPr>
                              <w:spacing w:after="0" w:line="240" w:lineRule="auto"/>
                              <w:ind w:left="1418" w:right="1418"/>
                              <w:jc w:val="center"/>
                              <w:rPr>
                                <w:rFonts w:ascii="Times New Roman" w:hAnsi="Times New Roman" w:cs="Times New Roman"/>
                                <w:color w:val="FFFFFF" w:themeColor="background1"/>
                                <w:sz w:val="32"/>
                              </w:rPr>
                            </w:pPr>
                            <w:r>
                              <w:rPr>
                                <w:rFonts w:ascii="Times New Roman" w:hAnsi="Times New Roman" w:cs="Times New Roman"/>
                                <w:color w:val="FFFFFF" w:themeColor="background1"/>
                                <w:sz w:val="32"/>
                              </w:rPr>
                              <w:t>(Cuadro de revisión de literatura)</w:t>
                            </w:r>
                          </w:p>
                          <w:p w:rsidR="001F3AB7" w:rsidRPr="008C34C3" w:rsidRDefault="001F3AB7" w:rsidP="008C34C3">
                            <w:pPr>
                              <w:spacing w:after="0" w:line="240" w:lineRule="auto"/>
                              <w:jc w:val="center"/>
                              <w:rPr>
                                <w:rFonts w:ascii="Times New Roman" w:hAnsi="Times New Roman" w:cs="Times New Roman"/>
                                <w:color w:val="FFFFFF" w:themeColor="background1"/>
                                <w:sz w:val="32"/>
                              </w:rPr>
                            </w:pPr>
                          </w:p>
                          <w:p w:rsidR="001F3AB7" w:rsidRPr="008C34C3" w:rsidRDefault="001F3AB7" w:rsidP="008C34C3">
                            <w:pPr>
                              <w:spacing w:after="0" w:line="240" w:lineRule="auto"/>
                              <w:jc w:val="center"/>
                              <w:rPr>
                                <w:rFonts w:ascii="Times New Roman" w:hAnsi="Times New Roman" w:cs="Times New Roman"/>
                                <w:b/>
                                <w:color w:val="FFFFFF" w:themeColor="background1"/>
                                <w:sz w:val="24"/>
                              </w:rPr>
                            </w:pPr>
                          </w:p>
                          <w:p w:rsidR="001F3AB7" w:rsidRPr="008C34C3" w:rsidRDefault="001F3AB7" w:rsidP="008C34C3">
                            <w:pPr>
                              <w:spacing w:after="0" w:line="240" w:lineRule="auto"/>
                              <w:jc w:val="center"/>
                              <w:rPr>
                                <w:rFonts w:ascii="Times New Roman" w:hAnsi="Times New Roman" w:cs="Times New Roman"/>
                                <w:b/>
                                <w:color w:val="FFFFFF" w:themeColor="background1"/>
                                <w:sz w:val="24"/>
                              </w:rPr>
                            </w:pPr>
                          </w:p>
                          <w:p w:rsidR="001F3AB7" w:rsidRPr="008C34C3" w:rsidRDefault="001F3AB7" w:rsidP="008C34C3">
                            <w:pPr>
                              <w:spacing w:after="0" w:line="240" w:lineRule="auto"/>
                              <w:jc w:val="center"/>
                              <w:rPr>
                                <w:rFonts w:ascii="Times New Roman" w:hAnsi="Times New Roman" w:cs="Times New Roman"/>
                                <w:b/>
                                <w:color w:val="FFFFFF" w:themeColor="background1"/>
                                <w:sz w:val="24"/>
                              </w:rPr>
                            </w:pPr>
                            <w:r w:rsidRPr="008C34C3">
                              <w:rPr>
                                <w:rFonts w:ascii="Times New Roman" w:hAnsi="Times New Roman" w:cs="Times New Roman"/>
                                <w:b/>
                                <w:color w:val="FFFFFF" w:themeColor="background1"/>
                                <w:sz w:val="24"/>
                              </w:rPr>
                              <w:t>Resumen</w:t>
                            </w:r>
                          </w:p>
                          <w:p w:rsidR="001F3AB7" w:rsidRPr="008C34C3" w:rsidRDefault="009A6CC7" w:rsidP="008C34C3">
                            <w:pPr>
                              <w:spacing w:after="0"/>
                              <w:ind w:left="1134" w:right="1134"/>
                              <w:jc w:val="both"/>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Redactar un breve resumen de lo que trata su investigación </w:t>
                            </w: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both"/>
                              <w:rPr>
                                <w:rFonts w:ascii="Times New Roman" w:hAnsi="Times New Roman" w:cs="Times New Roman"/>
                                <w:b/>
                                <w:color w:val="FFFFFF" w:themeColor="background1"/>
                                <w:sz w:val="24"/>
                              </w:rPr>
                            </w:pPr>
                            <w:r w:rsidRPr="008C34C3">
                              <w:rPr>
                                <w:rFonts w:ascii="Times New Roman" w:hAnsi="Times New Roman" w:cs="Times New Roman"/>
                                <w:b/>
                                <w:color w:val="FFFFFF" w:themeColor="background1"/>
                                <w:sz w:val="24"/>
                              </w:rPr>
                              <w:t xml:space="preserve">Palabras clave: </w:t>
                            </w:r>
                            <w:r w:rsidRPr="00FC3E99">
                              <w:rPr>
                                <w:rFonts w:ascii="Times New Roman" w:hAnsi="Times New Roman" w:cs="Times New Roman"/>
                                <w:b/>
                                <w:color w:val="FFFFFF" w:themeColor="background1"/>
                                <w:sz w:val="24"/>
                              </w:rPr>
                              <w:t xml:space="preserve">Aglomeración, Concentración, Centros Económicos, </w:t>
                            </w:r>
                            <w:proofErr w:type="spellStart"/>
                            <w:r w:rsidRPr="00FC3E99">
                              <w:rPr>
                                <w:rFonts w:ascii="Times New Roman" w:hAnsi="Times New Roman" w:cs="Times New Roman"/>
                                <w:b/>
                                <w:color w:val="FFFFFF" w:themeColor="background1"/>
                                <w:sz w:val="24"/>
                              </w:rPr>
                              <w:t>Policentrismo</w:t>
                            </w:r>
                            <w:proofErr w:type="spellEnd"/>
                            <w:r w:rsidRPr="00FC3E99">
                              <w:rPr>
                                <w:rFonts w:ascii="Times New Roman" w:hAnsi="Times New Roman" w:cs="Times New Roman"/>
                                <w:b/>
                                <w:color w:val="FFFFFF" w:themeColor="background1"/>
                                <w:sz w:val="24"/>
                              </w:rPr>
                              <w:t xml:space="preserve"> y Localización</w:t>
                            </w:r>
                            <w:r>
                              <w:rPr>
                                <w:rFonts w:ascii="Times New Roman" w:hAnsi="Times New Roman" w:cs="Times New Roman"/>
                                <w:b/>
                                <w:color w:val="FFFFFF" w:themeColor="background1"/>
                                <w:sz w:val="24"/>
                              </w:rPr>
                              <w:t>.</w:t>
                            </w:r>
                          </w:p>
                          <w:p w:rsidR="001F3AB7" w:rsidRPr="008C34C3" w:rsidRDefault="001F3AB7" w:rsidP="008C34C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0;margin-top:-86.2pt;width:1032pt;height:809.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" fillcolor="#365f91 [2404]">
                <v:textbox>
                  <w:txbxContent>
                    <w:p w:rsidR="001F3AB7" w:rsidRDefault="001F3AB7" w:rsidP="008C34C3">
                      <w:pPr>
                        <w:rPr>
                          <w:lang w:val="es-ES"/>
                        </w:rPr>
                      </w:pPr>
                    </w:p>
                    <w:p w:rsidR="001F3AB7" w:rsidRDefault="001F3AB7" w:rsidP="008C34C3">
                      <w:pPr>
                        <w:jc w:val="center"/>
                        <w:rPr>
                          <w:lang w:val="es-ES"/>
                        </w:rPr>
                      </w:pPr>
                      <w:r>
                        <w:rPr>
                          <w:noProof/>
                          <w:lang w:val="es-ES" w:eastAsia="es-ES"/>
                        </w:rPr>
                        <w:drawing>
                          <wp:inline distT="0" distB="0" distL="0" distR="0">
                            <wp:extent cx="4572000" cy="1000125"/>
                            <wp:effectExtent l="0" t="0" r="0" b="0"/>
                            <wp:docPr id="2" name="Imagen 1" descr="C:\Users\José Antonio\Desktop\fesacat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 Antonio\Desktop\fesacatlan.png"/>
                                    <pic:cNvPicPr>
                                      <a:picLocks noChangeAspect="1" noChangeArrowheads="1"/>
                                    </pic:cNvPicPr>
                                  </pic:nvPicPr>
                                  <pic:blipFill>
                                    <a:blip r:embed="rId5"/>
                                    <a:srcRect/>
                                    <a:stretch>
                                      <a:fillRect/>
                                    </a:stretch>
                                  </pic:blipFill>
                                  <pic:spPr bwMode="auto">
                                    <a:xfrm>
                                      <a:off x="0" y="0"/>
                                      <a:ext cx="4572000" cy="1000125"/>
                                    </a:xfrm>
                                    <a:prstGeom prst="rect">
                                      <a:avLst/>
                                    </a:prstGeom>
                                    <a:noFill/>
                                    <a:ln w="9525">
                                      <a:noFill/>
                                      <a:miter lim="800000"/>
                                      <a:headEnd/>
                                      <a:tailEnd/>
                                    </a:ln>
                                  </pic:spPr>
                                </pic:pic>
                              </a:graphicData>
                            </a:graphic>
                          </wp:inline>
                        </w:drawing>
                      </w:r>
                    </w:p>
                    <w:p w:rsidR="001F3AB7" w:rsidRDefault="001F3AB7" w:rsidP="008C34C3">
                      <w:pPr>
                        <w:rPr>
                          <w:lang w:val="es-ES"/>
                        </w:rPr>
                      </w:pPr>
                    </w:p>
                    <w:p w:rsidR="001F3AB7" w:rsidRPr="008C34C3" w:rsidRDefault="009A6CC7" w:rsidP="008C34C3">
                      <w:pPr>
                        <w:spacing w:after="0" w:line="240" w:lineRule="auto"/>
                        <w:jc w:val="center"/>
                        <w:rPr>
                          <w:rFonts w:ascii="Times New Roman" w:hAnsi="Times New Roman" w:cs="Times New Roman"/>
                          <w:color w:val="FFFFFF" w:themeColor="background1"/>
                          <w:sz w:val="28"/>
                        </w:rPr>
                      </w:pPr>
                      <w:r>
                        <w:rPr>
                          <w:rFonts w:ascii="Times New Roman" w:hAnsi="Times New Roman" w:cs="Times New Roman"/>
                          <w:color w:val="FFFFFF" w:themeColor="background1"/>
                          <w:sz w:val="28"/>
                        </w:rPr>
                        <w:t>Alumno</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r w:rsidRPr="008C34C3">
                        <w:rPr>
                          <w:rFonts w:ascii="Times New Roman" w:hAnsi="Times New Roman" w:cs="Times New Roman"/>
                          <w:color w:val="FFFFFF" w:themeColor="background1"/>
                          <w:sz w:val="28"/>
                        </w:rPr>
                        <w:t xml:space="preserve">Contacto: </w:t>
                      </w:r>
                      <w:r w:rsidR="009A6CC7">
                        <w:rPr>
                          <w:rFonts w:ascii="Times New Roman" w:hAnsi="Times New Roman" w:cs="Times New Roman"/>
                          <w:color w:val="FFFFFF" w:themeColor="background1"/>
                          <w:sz w:val="28"/>
                        </w:rPr>
                        <w:t>correo@gmail.com</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r w:rsidRPr="008C34C3">
                        <w:rPr>
                          <w:rFonts w:ascii="Times New Roman" w:hAnsi="Times New Roman" w:cs="Times New Roman"/>
                          <w:color w:val="FFFFFF" w:themeColor="background1"/>
                          <w:sz w:val="28"/>
                        </w:rPr>
                        <w:t xml:space="preserve">Licenciatura en Economía </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r w:rsidRPr="008C34C3">
                        <w:rPr>
                          <w:rFonts w:ascii="Times New Roman" w:hAnsi="Times New Roman" w:cs="Times New Roman"/>
                          <w:color w:val="FFFFFF" w:themeColor="background1"/>
                          <w:sz w:val="28"/>
                        </w:rPr>
                        <w:t xml:space="preserve">Tutor de Tesis: </w:t>
                      </w:r>
                    </w:p>
                    <w:p w:rsidR="001F3AB7" w:rsidRPr="008C34C3" w:rsidRDefault="001F3AB7" w:rsidP="008C34C3">
                      <w:pPr>
                        <w:spacing w:after="0" w:line="240" w:lineRule="auto"/>
                        <w:jc w:val="center"/>
                        <w:rPr>
                          <w:rFonts w:ascii="Times New Roman" w:hAnsi="Times New Roman" w:cs="Times New Roman"/>
                          <w:color w:val="FFFFFF" w:themeColor="background1"/>
                          <w:sz w:val="28"/>
                        </w:rPr>
                      </w:pPr>
                    </w:p>
                    <w:p w:rsidR="001F3AB7" w:rsidRPr="008C34C3" w:rsidRDefault="001F3AB7" w:rsidP="008C34C3">
                      <w:pPr>
                        <w:spacing w:after="0" w:line="240" w:lineRule="auto"/>
                        <w:jc w:val="center"/>
                        <w:rPr>
                          <w:rFonts w:ascii="Times New Roman" w:hAnsi="Times New Roman" w:cs="Times New Roman"/>
                          <w:color w:val="FFFFFF" w:themeColor="background1"/>
                          <w:sz w:val="28"/>
                        </w:rPr>
                      </w:pPr>
                    </w:p>
                    <w:p w:rsidR="001F3AB7" w:rsidRDefault="009A6CC7" w:rsidP="00353571">
                      <w:pPr>
                        <w:spacing w:after="0" w:line="240" w:lineRule="auto"/>
                        <w:ind w:left="1418" w:right="1418"/>
                        <w:jc w:val="center"/>
                        <w:rPr>
                          <w:rFonts w:ascii="Times New Roman" w:hAnsi="Times New Roman" w:cs="Times New Roman"/>
                          <w:color w:val="FFFFFF" w:themeColor="background1"/>
                          <w:sz w:val="32"/>
                        </w:rPr>
                      </w:pPr>
                      <w:r>
                        <w:rPr>
                          <w:rFonts w:ascii="Times New Roman" w:hAnsi="Times New Roman" w:cs="Times New Roman"/>
                          <w:color w:val="FFFFFF" w:themeColor="background1"/>
                          <w:sz w:val="32"/>
                        </w:rPr>
                        <w:t>Título de la investigación</w:t>
                      </w:r>
                      <w:r w:rsidR="001F3AB7">
                        <w:rPr>
                          <w:rFonts w:ascii="Times New Roman" w:hAnsi="Times New Roman" w:cs="Times New Roman"/>
                          <w:color w:val="FFFFFF" w:themeColor="background1"/>
                          <w:sz w:val="32"/>
                        </w:rPr>
                        <w:t xml:space="preserve"> </w:t>
                      </w:r>
                    </w:p>
                    <w:p w:rsidR="001F3AB7" w:rsidRPr="008C34C3" w:rsidRDefault="001F3AB7" w:rsidP="00353571">
                      <w:pPr>
                        <w:spacing w:after="0" w:line="240" w:lineRule="auto"/>
                        <w:ind w:left="1418" w:right="1418"/>
                        <w:jc w:val="center"/>
                        <w:rPr>
                          <w:rFonts w:ascii="Times New Roman" w:hAnsi="Times New Roman" w:cs="Times New Roman"/>
                          <w:color w:val="FFFFFF" w:themeColor="background1"/>
                          <w:sz w:val="32"/>
                        </w:rPr>
                      </w:pPr>
                      <w:r>
                        <w:rPr>
                          <w:rFonts w:ascii="Times New Roman" w:hAnsi="Times New Roman" w:cs="Times New Roman"/>
                          <w:color w:val="FFFFFF" w:themeColor="background1"/>
                          <w:sz w:val="32"/>
                        </w:rPr>
                        <w:t>(Cuadro de revisión de literatura)</w:t>
                      </w:r>
                    </w:p>
                    <w:p w:rsidR="001F3AB7" w:rsidRPr="008C34C3" w:rsidRDefault="001F3AB7" w:rsidP="008C34C3">
                      <w:pPr>
                        <w:spacing w:after="0" w:line="240" w:lineRule="auto"/>
                        <w:jc w:val="center"/>
                        <w:rPr>
                          <w:rFonts w:ascii="Times New Roman" w:hAnsi="Times New Roman" w:cs="Times New Roman"/>
                          <w:color w:val="FFFFFF" w:themeColor="background1"/>
                          <w:sz w:val="32"/>
                        </w:rPr>
                      </w:pPr>
                    </w:p>
                    <w:p w:rsidR="001F3AB7" w:rsidRPr="008C34C3" w:rsidRDefault="001F3AB7" w:rsidP="008C34C3">
                      <w:pPr>
                        <w:spacing w:after="0" w:line="240" w:lineRule="auto"/>
                        <w:jc w:val="center"/>
                        <w:rPr>
                          <w:rFonts w:ascii="Times New Roman" w:hAnsi="Times New Roman" w:cs="Times New Roman"/>
                          <w:b/>
                          <w:color w:val="FFFFFF" w:themeColor="background1"/>
                          <w:sz w:val="24"/>
                        </w:rPr>
                      </w:pPr>
                    </w:p>
                    <w:p w:rsidR="001F3AB7" w:rsidRPr="008C34C3" w:rsidRDefault="001F3AB7" w:rsidP="008C34C3">
                      <w:pPr>
                        <w:spacing w:after="0" w:line="240" w:lineRule="auto"/>
                        <w:jc w:val="center"/>
                        <w:rPr>
                          <w:rFonts w:ascii="Times New Roman" w:hAnsi="Times New Roman" w:cs="Times New Roman"/>
                          <w:b/>
                          <w:color w:val="FFFFFF" w:themeColor="background1"/>
                          <w:sz w:val="24"/>
                        </w:rPr>
                      </w:pPr>
                    </w:p>
                    <w:p w:rsidR="001F3AB7" w:rsidRPr="008C34C3" w:rsidRDefault="001F3AB7" w:rsidP="008C34C3">
                      <w:pPr>
                        <w:spacing w:after="0" w:line="240" w:lineRule="auto"/>
                        <w:jc w:val="center"/>
                        <w:rPr>
                          <w:rFonts w:ascii="Times New Roman" w:hAnsi="Times New Roman" w:cs="Times New Roman"/>
                          <w:b/>
                          <w:color w:val="FFFFFF" w:themeColor="background1"/>
                          <w:sz w:val="24"/>
                        </w:rPr>
                      </w:pPr>
                      <w:r w:rsidRPr="008C34C3">
                        <w:rPr>
                          <w:rFonts w:ascii="Times New Roman" w:hAnsi="Times New Roman" w:cs="Times New Roman"/>
                          <w:b/>
                          <w:color w:val="FFFFFF" w:themeColor="background1"/>
                          <w:sz w:val="24"/>
                        </w:rPr>
                        <w:t>Resumen</w:t>
                      </w:r>
                    </w:p>
                    <w:p w:rsidR="001F3AB7" w:rsidRPr="008C34C3" w:rsidRDefault="009A6CC7" w:rsidP="008C34C3">
                      <w:pPr>
                        <w:spacing w:after="0"/>
                        <w:ind w:left="1134" w:right="1134"/>
                        <w:jc w:val="both"/>
                        <w:rPr>
                          <w:rFonts w:ascii="Times New Roman" w:hAnsi="Times New Roman" w:cs="Times New Roman"/>
                          <w:color w:val="FFFFFF" w:themeColor="background1"/>
                          <w:sz w:val="24"/>
                        </w:rPr>
                      </w:pPr>
                      <w:r>
                        <w:rPr>
                          <w:rFonts w:ascii="Times New Roman" w:hAnsi="Times New Roman" w:cs="Times New Roman"/>
                          <w:color w:val="FFFFFF" w:themeColor="background1"/>
                          <w:sz w:val="24"/>
                        </w:rPr>
                        <w:t xml:space="preserve">Redactar un breve resumen de lo que trata su investigación </w:t>
                      </w: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center"/>
                        <w:rPr>
                          <w:rFonts w:ascii="Times New Roman" w:hAnsi="Times New Roman" w:cs="Times New Roman"/>
                          <w:color w:val="FFFFFF" w:themeColor="background1"/>
                          <w:sz w:val="28"/>
                        </w:rPr>
                      </w:pPr>
                    </w:p>
                    <w:p w:rsidR="001F3AB7" w:rsidRPr="008C34C3" w:rsidRDefault="001F3AB7" w:rsidP="008C34C3">
                      <w:pPr>
                        <w:ind w:left="1134" w:right="1134"/>
                        <w:jc w:val="both"/>
                        <w:rPr>
                          <w:rFonts w:ascii="Times New Roman" w:hAnsi="Times New Roman" w:cs="Times New Roman"/>
                          <w:b/>
                          <w:color w:val="FFFFFF" w:themeColor="background1"/>
                          <w:sz w:val="24"/>
                        </w:rPr>
                      </w:pPr>
                      <w:r w:rsidRPr="008C34C3">
                        <w:rPr>
                          <w:rFonts w:ascii="Times New Roman" w:hAnsi="Times New Roman" w:cs="Times New Roman"/>
                          <w:b/>
                          <w:color w:val="FFFFFF" w:themeColor="background1"/>
                          <w:sz w:val="24"/>
                        </w:rPr>
                        <w:t xml:space="preserve">Palabras clave: </w:t>
                      </w:r>
                      <w:r w:rsidRPr="00FC3E99">
                        <w:rPr>
                          <w:rFonts w:ascii="Times New Roman" w:hAnsi="Times New Roman" w:cs="Times New Roman"/>
                          <w:b/>
                          <w:color w:val="FFFFFF" w:themeColor="background1"/>
                          <w:sz w:val="24"/>
                        </w:rPr>
                        <w:t xml:space="preserve">Aglomeración, Concentración, Centros Económicos, </w:t>
                      </w:r>
                      <w:proofErr w:type="spellStart"/>
                      <w:r w:rsidRPr="00FC3E99">
                        <w:rPr>
                          <w:rFonts w:ascii="Times New Roman" w:hAnsi="Times New Roman" w:cs="Times New Roman"/>
                          <w:b/>
                          <w:color w:val="FFFFFF" w:themeColor="background1"/>
                          <w:sz w:val="24"/>
                        </w:rPr>
                        <w:t>Policentrismo</w:t>
                      </w:r>
                      <w:proofErr w:type="spellEnd"/>
                      <w:r w:rsidRPr="00FC3E99">
                        <w:rPr>
                          <w:rFonts w:ascii="Times New Roman" w:hAnsi="Times New Roman" w:cs="Times New Roman"/>
                          <w:b/>
                          <w:color w:val="FFFFFF" w:themeColor="background1"/>
                          <w:sz w:val="24"/>
                        </w:rPr>
                        <w:t xml:space="preserve"> y Localización</w:t>
                      </w:r>
                      <w:r>
                        <w:rPr>
                          <w:rFonts w:ascii="Times New Roman" w:hAnsi="Times New Roman" w:cs="Times New Roman"/>
                          <w:b/>
                          <w:color w:val="FFFFFF" w:themeColor="background1"/>
                          <w:sz w:val="24"/>
                        </w:rPr>
                        <w:t>.</w:t>
                      </w:r>
                    </w:p>
                    <w:p w:rsidR="001F3AB7" w:rsidRPr="008C34C3" w:rsidRDefault="001F3AB7" w:rsidP="008C34C3">
                      <w:pPr>
                        <w:jc w:val="center"/>
                      </w:pPr>
                    </w:p>
                  </w:txbxContent>
                </v:textbox>
              </v:shape>
            </w:pict>
          </mc:Fallback>
        </mc:AlternateContent>
      </w:r>
    </w:p>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8C34C3" w:rsidRDefault="008C34C3"/>
    <w:p w:rsidR="00353571" w:rsidRDefault="00353571">
      <w:pPr>
        <w:sectPr w:rsidR="00353571" w:rsidSect="00353571">
          <w:pgSz w:w="20163" w:h="12242" w:orient="landscape" w:code="5"/>
          <w:pgMar w:top="1701" w:right="1418" w:bottom="1701" w:left="1418" w:header="709" w:footer="709" w:gutter="0"/>
          <w:cols w:space="708"/>
          <w:docGrid w:linePitch="360"/>
        </w:sectPr>
      </w:pPr>
    </w:p>
    <w:tbl>
      <w:tblPr>
        <w:tblStyle w:val="Tablaconcuadrcula"/>
        <w:tblW w:w="177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51"/>
        <w:gridCol w:w="1843"/>
        <w:gridCol w:w="2126"/>
        <w:gridCol w:w="1134"/>
        <w:gridCol w:w="1305"/>
        <w:gridCol w:w="1105"/>
        <w:gridCol w:w="1531"/>
        <w:gridCol w:w="1531"/>
        <w:gridCol w:w="1531"/>
        <w:gridCol w:w="1531"/>
        <w:gridCol w:w="2125"/>
      </w:tblGrid>
      <w:tr w:rsidR="009A6CC7" w:rsidRPr="000B1F75" w:rsidTr="009A6CC7">
        <w:trPr>
          <w:trHeight w:val="848"/>
        </w:trPr>
        <w:tc>
          <w:tcPr>
            <w:tcW w:w="1951" w:type="dxa"/>
            <w:shd w:val="clear" w:color="auto" w:fill="365F91" w:themeFill="accent1" w:themeFillShade="BF"/>
            <w:vAlign w:val="center"/>
            <w:hideMark/>
          </w:tcPr>
          <w:p w:rsidR="009A6CC7" w:rsidRPr="000B1F75" w:rsidRDefault="009A6CC7" w:rsidP="00B0227C">
            <w:pPr>
              <w:ind w:left="708" w:hanging="708"/>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lastRenderedPageBreak/>
              <w:t xml:space="preserve">Fuente </w:t>
            </w:r>
          </w:p>
        </w:tc>
        <w:tc>
          <w:tcPr>
            <w:tcW w:w="1843"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 xml:space="preserve">Pregunta de investigación e hipótesis </w:t>
            </w:r>
          </w:p>
        </w:tc>
        <w:tc>
          <w:tcPr>
            <w:tcW w:w="2126"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Objetivo (s)</w:t>
            </w:r>
          </w:p>
        </w:tc>
        <w:tc>
          <w:tcPr>
            <w:tcW w:w="1134"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Tipo de artículo: teórico o empírico</w:t>
            </w:r>
          </w:p>
        </w:tc>
        <w:tc>
          <w:tcPr>
            <w:tcW w:w="1305"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 xml:space="preserve">Definición teórica de los conceptos principales </w:t>
            </w:r>
          </w:p>
        </w:tc>
        <w:tc>
          <w:tcPr>
            <w:tcW w:w="1105"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Teoría económica o enfoque</w:t>
            </w:r>
          </w:p>
        </w:tc>
        <w:tc>
          <w:tcPr>
            <w:tcW w:w="1531"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Objeto de estudio regional (macro-meso-micro), Artificial o real</w:t>
            </w:r>
          </w:p>
        </w:tc>
        <w:tc>
          <w:tcPr>
            <w:tcW w:w="1531"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Indicadores de análisis</w:t>
            </w:r>
          </w:p>
        </w:tc>
        <w:tc>
          <w:tcPr>
            <w:tcW w:w="1531"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Metodología estadística e Implementación: CA, redes, econometría, etc.</w:t>
            </w:r>
          </w:p>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Ho y Ha</w:t>
            </w:r>
          </w:p>
        </w:tc>
        <w:tc>
          <w:tcPr>
            <w:tcW w:w="1531"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Resultados</w:t>
            </w:r>
          </w:p>
        </w:tc>
        <w:tc>
          <w:tcPr>
            <w:tcW w:w="2125" w:type="dxa"/>
            <w:shd w:val="clear" w:color="auto" w:fill="365F91" w:themeFill="accent1" w:themeFillShade="BF"/>
            <w:vAlign w:val="center"/>
            <w:hideMark/>
          </w:tcPr>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¿Es posible replicar el modelo para el caso mexicano?</w:t>
            </w:r>
          </w:p>
          <w:p w:rsidR="009A6CC7" w:rsidRPr="000B1F75" w:rsidRDefault="009A6CC7" w:rsidP="00B0227C">
            <w:pPr>
              <w:jc w:val="center"/>
              <w:rPr>
                <w:rFonts w:eastAsia="Times New Roman" w:cs="Calibri"/>
                <w:b/>
                <w:color w:val="FFFFFF" w:themeColor="background1"/>
                <w:sz w:val="18"/>
                <w:szCs w:val="18"/>
                <w:lang w:eastAsia="es-MX"/>
              </w:rPr>
            </w:pPr>
            <w:r w:rsidRPr="000B1F75">
              <w:rPr>
                <w:rFonts w:eastAsia="Times New Roman" w:cs="Calibri"/>
                <w:b/>
                <w:color w:val="FFFFFF" w:themeColor="background1"/>
                <w:sz w:val="18"/>
                <w:szCs w:val="18"/>
                <w:lang w:eastAsia="es-MX"/>
              </w:rPr>
              <w:t>¿Cuáles son las posibles fuentes de datos?</w:t>
            </w: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r w:rsidRPr="000B1F75">
              <w:rPr>
                <w:rFonts w:cs="Trebuchet MS"/>
                <w:sz w:val="18"/>
                <w:szCs w:val="18"/>
              </w:rPr>
              <w:t xml:space="preserve">1. Ana María Fernández-Maldonado, </w:t>
            </w:r>
            <w:proofErr w:type="spellStart"/>
            <w:r w:rsidRPr="000B1F75">
              <w:rPr>
                <w:rFonts w:cs="Trebuchet MS"/>
                <w:sz w:val="18"/>
                <w:szCs w:val="18"/>
              </w:rPr>
              <w:t>Arie</w:t>
            </w:r>
            <w:proofErr w:type="spellEnd"/>
            <w:r w:rsidRPr="000B1F75">
              <w:rPr>
                <w:rFonts w:cs="Trebuchet MS"/>
                <w:sz w:val="18"/>
                <w:szCs w:val="18"/>
              </w:rPr>
              <w:t xml:space="preserve"> </w:t>
            </w:r>
            <w:proofErr w:type="spellStart"/>
            <w:r w:rsidRPr="000B1F75">
              <w:rPr>
                <w:rFonts w:cs="Trebuchet MS"/>
                <w:sz w:val="18"/>
                <w:szCs w:val="18"/>
              </w:rPr>
              <w:t>Romein</w:t>
            </w:r>
            <w:proofErr w:type="spellEnd"/>
            <w:r w:rsidRPr="000B1F75">
              <w:rPr>
                <w:rFonts w:cs="Trebuchet MS"/>
                <w:sz w:val="18"/>
                <w:szCs w:val="18"/>
              </w:rPr>
              <w:t xml:space="preserve">, Otto </w:t>
            </w:r>
            <w:proofErr w:type="spellStart"/>
            <w:r w:rsidRPr="000B1F75">
              <w:rPr>
                <w:rFonts w:cs="Trebuchet MS"/>
                <w:sz w:val="18"/>
                <w:szCs w:val="18"/>
              </w:rPr>
              <w:t>Verkoren</w:t>
            </w:r>
            <w:proofErr w:type="spellEnd"/>
            <w:r w:rsidRPr="000B1F75">
              <w:rPr>
                <w:rFonts w:cs="Trebuchet MS"/>
                <w:sz w:val="18"/>
                <w:szCs w:val="18"/>
              </w:rPr>
              <w:t xml:space="preserve"> y Renata Parente Paula</w:t>
            </w:r>
          </w:p>
          <w:p w:rsidR="009A6CC7" w:rsidRPr="000B1F75" w:rsidRDefault="009A6CC7" w:rsidP="00B0227C">
            <w:pPr>
              <w:autoSpaceDE w:val="0"/>
              <w:autoSpaceDN w:val="0"/>
              <w:adjustRightInd w:val="0"/>
              <w:rPr>
                <w:rFonts w:cs="AdvOT6eb13881"/>
                <w:sz w:val="18"/>
                <w:szCs w:val="18"/>
              </w:rPr>
            </w:pPr>
            <w:r w:rsidRPr="000B1F75">
              <w:rPr>
                <w:rFonts w:cs="Trebuchet MS"/>
                <w:sz w:val="18"/>
                <w:szCs w:val="18"/>
              </w:rPr>
              <w:t>Pessoa</w:t>
            </w:r>
            <w:r w:rsidRPr="000B1F75">
              <w:rPr>
                <w:rFonts w:cs="AdvOT6eb13881"/>
                <w:sz w:val="18"/>
                <w:szCs w:val="18"/>
              </w:rPr>
              <w:t xml:space="preserve"> (2013). “</w:t>
            </w:r>
            <w:proofErr w:type="spellStart"/>
            <w:r w:rsidRPr="000B1F75">
              <w:rPr>
                <w:rFonts w:cs="AdvOT6eb13881"/>
                <w:sz w:val="18"/>
                <w:szCs w:val="18"/>
              </w:rPr>
              <w:t>Polycentric</w:t>
            </w:r>
            <w:proofErr w:type="spellEnd"/>
            <w:r w:rsidRPr="000B1F75">
              <w:rPr>
                <w:rFonts w:cs="AdvOT6eb13881"/>
                <w:sz w:val="18"/>
                <w:szCs w:val="18"/>
              </w:rPr>
              <w:t xml:space="preserve"> </w:t>
            </w:r>
            <w:proofErr w:type="spellStart"/>
            <w:r w:rsidRPr="000B1F75">
              <w:rPr>
                <w:rFonts w:cs="AdvOT6eb13881"/>
                <w:sz w:val="18"/>
                <w:szCs w:val="18"/>
              </w:rPr>
              <w:t>Structures</w:t>
            </w:r>
            <w:proofErr w:type="spellEnd"/>
            <w:r w:rsidRPr="000B1F75">
              <w:rPr>
                <w:rFonts w:cs="AdvOT6eb13881"/>
                <w:sz w:val="18"/>
                <w:szCs w:val="18"/>
              </w:rPr>
              <w:t xml:space="preserve"> in </w:t>
            </w:r>
            <w:proofErr w:type="spellStart"/>
            <w:r w:rsidRPr="000B1F75">
              <w:rPr>
                <w:rFonts w:cs="AdvOT6eb13881"/>
                <w:sz w:val="18"/>
                <w:szCs w:val="18"/>
              </w:rPr>
              <w:t>Latin</w:t>
            </w:r>
            <w:proofErr w:type="spellEnd"/>
            <w:r w:rsidRPr="000B1F75">
              <w:rPr>
                <w:rFonts w:cs="AdvOT6eb13881"/>
                <w:sz w:val="18"/>
                <w:szCs w:val="18"/>
              </w:rPr>
              <w:t xml:space="preserve"> American</w:t>
            </w:r>
          </w:p>
          <w:p w:rsidR="009A6CC7" w:rsidRPr="000B1F75" w:rsidRDefault="009A6CC7" w:rsidP="00B0227C">
            <w:pPr>
              <w:autoSpaceDE w:val="0"/>
              <w:autoSpaceDN w:val="0"/>
              <w:adjustRightInd w:val="0"/>
              <w:rPr>
                <w:rFonts w:cs="AdvOT6eb13881"/>
                <w:sz w:val="18"/>
                <w:szCs w:val="18"/>
              </w:rPr>
            </w:pPr>
            <w:proofErr w:type="spellStart"/>
            <w:r w:rsidRPr="000B1F75">
              <w:rPr>
                <w:rFonts w:cs="AdvOT6eb13881"/>
                <w:sz w:val="18"/>
                <w:szCs w:val="18"/>
              </w:rPr>
              <w:t>Metropolitan</w:t>
            </w:r>
            <w:proofErr w:type="spellEnd"/>
            <w:r w:rsidRPr="000B1F75">
              <w:rPr>
                <w:rFonts w:cs="AdvOT6eb13881"/>
                <w:sz w:val="18"/>
                <w:szCs w:val="18"/>
              </w:rPr>
              <w:t xml:space="preserve"> </w:t>
            </w:r>
            <w:proofErr w:type="spellStart"/>
            <w:r w:rsidRPr="000B1F75">
              <w:rPr>
                <w:rFonts w:cs="AdvOT6eb13881"/>
                <w:sz w:val="18"/>
                <w:szCs w:val="18"/>
              </w:rPr>
              <w:t>Areas</w:t>
            </w:r>
            <w:proofErr w:type="spellEnd"/>
            <w:r w:rsidRPr="000B1F75">
              <w:rPr>
                <w:rFonts w:cs="AdvOT6eb13881"/>
                <w:sz w:val="18"/>
                <w:szCs w:val="18"/>
              </w:rPr>
              <w:t xml:space="preserve">: </w:t>
            </w:r>
            <w:proofErr w:type="spellStart"/>
            <w:r w:rsidRPr="000B1F75">
              <w:rPr>
                <w:rFonts w:cs="AdvOT6eb13881"/>
                <w:sz w:val="18"/>
                <w:szCs w:val="18"/>
              </w:rPr>
              <w:t>Identifying</w:t>
            </w:r>
            <w:proofErr w:type="spellEnd"/>
          </w:p>
          <w:p w:rsidR="009A6CC7" w:rsidRPr="000B1F75" w:rsidRDefault="009A6CC7" w:rsidP="00B0227C">
            <w:pPr>
              <w:autoSpaceDE w:val="0"/>
              <w:autoSpaceDN w:val="0"/>
              <w:adjustRightInd w:val="0"/>
              <w:rPr>
                <w:rFonts w:cs="Trebuchet MS"/>
                <w:sz w:val="18"/>
                <w:szCs w:val="18"/>
              </w:rPr>
            </w:pPr>
            <w:proofErr w:type="spellStart"/>
            <w:r w:rsidRPr="000B1F75">
              <w:rPr>
                <w:rFonts w:cs="AdvOT6eb13881"/>
                <w:sz w:val="18"/>
                <w:szCs w:val="18"/>
              </w:rPr>
              <w:t>Employment</w:t>
            </w:r>
            <w:proofErr w:type="spellEnd"/>
            <w:r w:rsidRPr="000B1F75">
              <w:rPr>
                <w:rFonts w:cs="AdvOT6eb13881"/>
                <w:sz w:val="18"/>
                <w:szCs w:val="18"/>
              </w:rPr>
              <w:t xml:space="preserve"> Sub-centres” in: R</w:t>
            </w:r>
            <w:r w:rsidRPr="000B1F75">
              <w:rPr>
                <w:rFonts w:cs="Trebuchet MS"/>
                <w:sz w:val="18"/>
                <w:szCs w:val="18"/>
              </w:rPr>
              <w:t xml:space="preserve">egional </w:t>
            </w:r>
            <w:proofErr w:type="spellStart"/>
            <w:r w:rsidRPr="000B1F75">
              <w:rPr>
                <w:rFonts w:cs="Trebuchet MS"/>
                <w:sz w:val="18"/>
                <w:szCs w:val="18"/>
              </w:rPr>
              <w:t>Studies</w:t>
            </w:r>
            <w:proofErr w:type="spellEnd"/>
            <w:r w:rsidRPr="000B1F75">
              <w:rPr>
                <w:rFonts w:cs="Trebuchet MS"/>
                <w:sz w:val="18"/>
                <w:szCs w:val="18"/>
              </w:rPr>
              <w:t>, Vol. 48:12, pp. 1954-1971</w:t>
            </w: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r w:rsidRPr="000B1F75">
              <w:rPr>
                <w:sz w:val="18"/>
                <w:szCs w:val="18"/>
              </w:rPr>
              <w:t>Determinar la existencia de  regiones urbanas policéntricas.</w:t>
            </w:r>
          </w:p>
        </w:tc>
        <w:tc>
          <w:tcPr>
            <w:tcW w:w="1134" w:type="dxa"/>
          </w:tcPr>
          <w:p w:rsidR="009A6CC7" w:rsidRPr="000B1F75" w:rsidRDefault="009A6CC7" w:rsidP="00B0227C">
            <w:pPr>
              <w:rPr>
                <w:sz w:val="18"/>
                <w:szCs w:val="18"/>
              </w:rPr>
            </w:pPr>
            <w:r w:rsidRPr="000B1F75">
              <w:rPr>
                <w:sz w:val="18"/>
                <w:szCs w:val="18"/>
              </w:rPr>
              <w:t>Teórico –empírico</w:t>
            </w:r>
          </w:p>
        </w:tc>
        <w:tc>
          <w:tcPr>
            <w:tcW w:w="1305" w:type="dxa"/>
          </w:tcPr>
          <w:p w:rsidR="009A6CC7" w:rsidRPr="000B1F75" w:rsidRDefault="009A6CC7" w:rsidP="00B0227C">
            <w:pPr>
              <w:autoSpaceDE w:val="0"/>
              <w:autoSpaceDN w:val="0"/>
              <w:adjustRightInd w:val="0"/>
              <w:rPr>
                <w:b/>
                <w:sz w:val="18"/>
                <w:szCs w:val="18"/>
              </w:rPr>
            </w:pPr>
            <w:r w:rsidRPr="000B1F75">
              <w:rPr>
                <w:b/>
                <w:sz w:val="18"/>
                <w:szCs w:val="18"/>
              </w:rPr>
              <w:t>Concentración de empleo:</w:t>
            </w:r>
            <w:r w:rsidRPr="000B1F75">
              <w:rPr>
                <w:sz w:val="18"/>
                <w:szCs w:val="18"/>
              </w:rPr>
              <w:t xml:space="preserve"> El desplazamiento influye en el acomodo de las personas a lugares que concentren mayores salarios o mayor número de actividades productivas.</w:t>
            </w:r>
          </w:p>
          <w:p w:rsidR="009A6CC7" w:rsidRPr="000B1F75" w:rsidRDefault="009A6CC7" w:rsidP="00B0227C">
            <w:pPr>
              <w:autoSpaceDE w:val="0"/>
              <w:autoSpaceDN w:val="0"/>
              <w:adjustRightInd w:val="0"/>
              <w:rPr>
                <w:rFonts w:cs="Arial"/>
                <w:b/>
                <w:sz w:val="18"/>
                <w:szCs w:val="18"/>
              </w:rPr>
            </w:pPr>
            <w:r w:rsidRPr="000B1F75">
              <w:rPr>
                <w:rFonts w:cs="Arial"/>
                <w:b/>
                <w:sz w:val="18"/>
                <w:szCs w:val="18"/>
              </w:rPr>
              <w:t>subcentros de empleo:</w:t>
            </w:r>
          </w:p>
          <w:p w:rsidR="009A6CC7" w:rsidRPr="000B1F75" w:rsidRDefault="009A6CC7" w:rsidP="00B0227C">
            <w:pPr>
              <w:autoSpaceDE w:val="0"/>
              <w:autoSpaceDN w:val="0"/>
              <w:adjustRightInd w:val="0"/>
              <w:rPr>
                <w:rFonts w:cs="Arial"/>
                <w:sz w:val="18"/>
                <w:szCs w:val="18"/>
              </w:rPr>
            </w:pPr>
            <w:r w:rsidRPr="000B1F75">
              <w:rPr>
                <w:rFonts w:cs="Arial"/>
                <w:sz w:val="18"/>
                <w:szCs w:val="18"/>
              </w:rPr>
              <w:t>Estos se definen como lugares con un mayor</w:t>
            </w:r>
          </w:p>
          <w:p w:rsidR="009A6CC7" w:rsidRPr="000B1F75" w:rsidRDefault="009A6CC7" w:rsidP="00B0227C">
            <w:pPr>
              <w:autoSpaceDE w:val="0"/>
              <w:autoSpaceDN w:val="0"/>
              <w:adjustRightInd w:val="0"/>
              <w:rPr>
                <w:rFonts w:cs="Arial"/>
                <w:sz w:val="18"/>
                <w:szCs w:val="18"/>
              </w:rPr>
            </w:pPr>
            <w:r w:rsidRPr="000B1F75">
              <w:rPr>
                <w:rFonts w:cs="Arial"/>
                <w:sz w:val="18"/>
                <w:szCs w:val="18"/>
              </w:rPr>
              <w:t>concentración de puestos de trabajo y la densidad de trabajo que sus alrededores</w:t>
            </w:r>
          </w:p>
          <w:p w:rsidR="009A6CC7" w:rsidRPr="000B1F75" w:rsidRDefault="009A6CC7" w:rsidP="00B0227C">
            <w:pPr>
              <w:autoSpaceDE w:val="0"/>
              <w:autoSpaceDN w:val="0"/>
              <w:adjustRightInd w:val="0"/>
              <w:rPr>
                <w:b/>
                <w:sz w:val="18"/>
                <w:szCs w:val="18"/>
              </w:rPr>
            </w:pPr>
            <w:r w:rsidRPr="000B1F75">
              <w:rPr>
                <w:rFonts w:cs="Arial"/>
                <w:sz w:val="18"/>
                <w:szCs w:val="18"/>
              </w:rPr>
              <w:t>áreas</w:t>
            </w:r>
          </w:p>
        </w:tc>
        <w:tc>
          <w:tcPr>
            <w:tcW w:w="1105" w:type="dxa"/>
          </w:tcPr>
          <w:p w:rsidR="009A6CC7" w:rsidRPr="000B1F75" w:rsidRDefault="009A6CC7" w:rsidP="00B0227C">
            <w:pPr>
              <w:autoSpaceDE w:val="0"/>
              <w:autoSpaceDN w:val="0"/>
              <w:adjustRightInd w:val="0"/>
              <w:rPr>
                <w:rFonts w:cs="Arial"/>
                <w:sz w:val="18"/>
                <w:szCs w:val="18"/>
              </w:rPr>
            </w:pPr>
            <w:r w:rsidRPr="000B1F75">
              <w:rPr>
                <w:rFonts w:cs="Arial"/>
                <w:sz w:val="18"/>
                <w:szCs w:val="18"/>
              </w:rPr>
              <w:t>Nueva Geografía Económica</w:t>
            </w:r>
          </w:p>
        </w:tc>
        <w:tc>
          <w:tcPr>
            <w:tcW w:w="1531" w:type="dxa"/>
          </w:tcPr>
          <w:p w:rsidR="009A6CC7" w:rsidRPr="000B1F75" w:rsidRDefault="009A6CC7" w:rsidP="00B0227C">
            <w:pPr>
              <w:rPr>
                <w:sz w:val="18"/>
                <w:szCs w:val="18"/>
              </w:rPr>
            </w:pPr>
            <w:r w:rsidRPr="000B1F75">
              <w:rPr>
                <w:sz w:val="18"/>
                <w:szCs w:val="18"/>
              </w:rPr>
              <w:t>Estudio regional latinoamericano.</w:t>
            </w:r>
          </w:p>
        </w:tc>
        <w:tc>
          <w:tcPr>
            <w:tcW w:w="1531" w:type="dxa"/>
          </w:tcPr>
          <w:p w:rsidR="009A6CC7" w:rsidRPr="000B1F75" w:rsidRDefault="009A6CC7" w:rsidP="00B0227C">
            <w:pPr>
              <w:autoSpaceDE w:val="0"/>
              <w:autoSpaceDN w:val="0"/>
              <w:adjustRightInd w:val="0"/>
              <w:rPr>
                <w:rFonts w:cs="Arial"/>
                <w:sz w:val="18"/>
                <w:szCs w:val="18"/>
              </w:rPr>
            </w:pPr>
            <w:r w:rsidRPr="000B1F75">
              <w:rPr>
                <w:rFonts w:cs="Arial"/>
                <w:sz w:val="18"/>
                <w:szCs w:val="18"/>
              </w:rPr>
              <w:t>Metodología de Giuliano</w:t>
            </w:r>
          </w:p>
          <w:p w:rsidR="009A6CC7" w:rsidRPr="000B1F75" w:rsidRDefault="009A6CC7" w:rsidP="00B0227C">
            <w:pPr>
              <w:rPr>
                <w:sz w:val="18"/>
                <w:szCs w:val="18"/>
              </w:rPr>
            </w:pPr>
            <w:r w:rsidRPr="000B1F75">
              <w:rPr>
                <w:rFonts w:cs="Arial"/>
                <w:sz w:val="18"/>
                <w:szCs w:val="18"/>
              </w:rPr>
              <w:t xml:space="preserve">y Small. </w:t>
            </w:r>
          </w:p>
        </w:tc>
        <w:tc>
          <w:tcPr>
            <w:tcW w:w="1531" w:type="dxa"/>
          </w:tcPr>
          <w:p w:rsidR="009A6CC7" w:rsidRPr="000B1F75" w:rsidRDefault="009A6CC7" w:rsidP="00B0227C">
            <w:pPr>
              <w:autoSpaceDE w:val="0"/>
              <w:autoSpaceDN w:val="0"/>
              <w:adjustRightInd w:val="0"/>
              <w:rPr>
                <w:rFonts w:cs="Arial"/>
                <w:sz w:val="18"/>
                <w:szCs w:val="18"/>
              </w:rPr>
            </w:pPr>
            <w:r w:rsidRPr="000B1F75">
              <w:rPr>
                <w:rFonts w:cs="Arial"/>
                <w:sz w:val="18"/>
                <w:szCs w:val="18"/>
              </w:rPr>
              <w:t>Para medir los cambios en la distribución espacial de</w:t>
            </w:r>
          </w:p>
          <w:p w:rsidR="009A6CC7" w:rsidRPr="000B1F75" w:rsidRDefault="009A6CC7" w:rsidP="00B0227C">
            <w:pPr>
              <w:autoSpaceDE w:val="0"/>
              <w:autoSpaceDN w:val="0"/>
              <w:adjustRightInd w:val="0"/>
              <w:rPr>
                <w:rFonts w:cs="Arial"/>
                <w:sz w:val="18"/>
                <w:szCs w:val="18"/>
              </w:rPr>
            </w:pPr>
            <w:r w:rsidRPr="000B1F75">
              <w:rPr>
                <w:rFonts w:cs="Arial"/>
                <w:sz w:val="18"/>
                <w:szCs w:val="18"/>
              </w:rPr>
              <w:t>el empleo en las ciudades, se trata de identificar la</w:t>
            </w:r>
          </w:p>
          <w:p w:rsidR="009A6CC7" w:rsidRPr="000B1F75" w:rsidRDefault="009A6CC7" w:rsidP="00B0227C">
            <w:pPr>
              <w:autoSpaceDE w:val="0"/>
              <w:autoSpaceDN w:val="0"/>
              <w:adjustRightInd w:val="0"/>
              <w:rPr>
                <w:rFonts w:cs="Arial"/>
                <w:sz w:val="18"/>
                <w:szCs w:val="18"/>
              </w:rPr>
            </w:pPr>
            <w:r w:rsidRPr="000B1F75">
              <w:rPr>
                <w:rFonts w:cs="Arial"/>
                <w:sz w:val="18"/>
                <w:szCs w:val="18"/>
              </w:rPr>
              <w:t>presencia de sub-centros de empleo y medir</w:t>
            </w:r>
          </w:p>
          <w:p w:rsidR="009A6CC7" w:rsidRPr="000B1F75" w:rsidRDefault="009A6CC7" w:rsidP="00B0227C">
            <w:pPr>
              <w:autoSpaceDE w:val="0"/>
              <w:autoSpaceDN w:val="0"/>
              <w:adjustRightInd w:val="0"/>
              <w:rPr>
                <w:rFonts w:cs="Arial"/>
                <w:sz w:val="18"/>
                <w:szCs w:val="18"/>
              </w:rPr>
            </w:pPr>
            <w:r w:rsidRPr="000B1F75">
              <w:rPr>
                <w:rFonts w:cs="Arial"/>
                <w:sz w:val="18"/>
                <w:szCs w:val="18"/>
              </w:rPr>
              <w:t xml:space="preserve">su tamaño. </w:t>
            </w:r>
          </w:p>
          <w:p w:rsidR="009A6CC7" w:rsidRPr="000B1F75" w:rsidRDefault="009A6CC7" w:rsidP="00B0227C">
            <w:pPr>
              <w:autoSpaceDE w:val="0"/>
              <w:autoSpaceDN w:val="0"/>
              <w:adjustRightInd w:val="0"/>
              <w:rPr>
                <w:rFonts w:cs="Arial"/>
                <w:sz w:val="18"/>
                <w:szCs w:val="18"/>
              </w:rPr>
            </w:pPr>
            <w:r w:rsidRPr="000B1F75">
              <w:rPr>
                <w:rFonts w:cs="Arial"/>
                <w:sz w:val="18"/>
                <w:szCs w:val="18"/>
              </w:rPr>
              <w:t>Sub-centros deben tener una magnitud suficiente</w:t>
            </w:r>
          </w:p>
          <w:p w:rsidR="009A6CC7" w:rsidRPr="000B1F75" w:rsidRDefault="009A6CC7" w:rsidP="00B0227C">
            <w:pPr>
              <w:autoSpaceDE w:val="0"/>
              <w:autoSpaceDN w:val="0"/>
              <w:adjustRightInd w:val="0"/>
              <w:rPr>
                <w:rFonts w:cs="Arial"/>
                <w:sz w:val="18"/>
                <w:szCs w:val="18"/>
              </w:rPr>
            </w:pPr>
            <w:r w:rsidRPr="000B1F75">
              <w:rPr>
                <w:rFonts w:cs="Arial"/>
                <w:sz w:val="18"/>
                <w:szCs w:val="18"/>
              </w:rPr>
              <w:t>para producir efectos significativos en el funcionamiento</w:t>
            </w:r>
          </w:p>
          <w:p w:rsidR="009A6CC7" w:rsidRPr="000B1F75" w:rsidRDefault="009A6CC7" w:rsidP="00B0227C">
            <w:pPr>
              <w:autoSpaceDE w:val="0"/>
              <w:autoSpaceDN w:val="0"/>
              <w:adjustRightInd w:val="0"/>
              <w:rPr>
                <w:rFonts w:cs="Arial"/>
                <w:sz w:val="18"/>
                <w:szCs w:val="18"/>
              </w:rPr>
            </w:pPr>
            <w:r w:rsidRPr="000B1F75">
              <w:rPr>
                <w:rFonts w:cs="Arial"/>
                <w:sz w:val="18"/>
                <w:szCs w:val="18"/>
              </w:rPr>
              <w:t>de las ciudades, sobre todo en relación con los sistemas de transporte,</w:t>
            </w:r>
          </w:p>
          <w:p w:rsidR="009A6CC7" w:rsidRPr="000B1F75" w:rsidRDefault="009A6CC7" w:rsidP="00B0227C">
            <w:pPr>
              <w:autoSpaceDE w:val="0"/>
              <w:autoSpaceDN w:val="0"/>
              <w:adjustRightInd w:val="0"/>
              <w:rPr>
                <w:rFonts w:cs="Arial"/>
                <w:sz w:val="18"/>
                <w:szCs w:val="18"/>
              </w:rPr>
            </w:pPr>
            <w:r w:rsidRPr="000B1F75">
              <w:rPr>
                <w:rFonts w:cs="Arial"/>
                <w:sz w:val="18"/>
                <w:szCs w:val="18"/>
              </w:rPr>
              <w:t>valor de la tierra y la distribución de la población. Debido a que Latinoamérica presenta diferentes condiciones sociales y económicas se</w:t>
            </w:r>
          </w:p>
          <w:p w:rsidR="009A6CC7" w:rsidRPr="000B1F75" w:rsidRDefault="009A6CC7" w:rsidP="00B0227C">
            <w:pPr>
              <w:autoSpaceDE w:val="0"/>
              <w:autoSpaceDN w:val="0"/>
              <w:adjustRightInd w:val="0"/>
              <w:rPr>
                <w:rFonts w:cs="Arial"/>
                <w:sz w:val="18"/>
                <w:szCs w:val="18"/>
              </w:rPr>
            </w:pPr>
            <w:r w:rsidRPr="000B1F75">
              <w:rPr>
                <w:rFonts w:cs="Arial"/>
                <w:sz w:val="18"/>
                <w:szCs w:val="18"/>
              </w:rPr>
              <w:t>requerirá a veces umbrales más bajos para ser</w:t>
            </w:r>
          </w:p>
          <w:p w:rsidR="009A6CC7" w:rsidRPr="000B1F75" w:rsidRDefault="009A6CC7" w:rsidP="00B0227C">
            <w:pPr>
              <w:autoSpaceDE w:val="0"/>
              <w:autoSpaceDN w:val="0"/>
              <w:adjustRightInd w:val="0"/>
              <w:rPr>
                <w:rFonts w:cs="Arial"/>
                <w:sz w:val="18"/>
                <w:szCs w:val="18"/>
              </w:rPr>
            </w:pPr>
            <w:r w:rsidRPr="000B1F75">
              <w:rPr>
                <w:rFonts w:cs="Arial"/>
                <w:sz w:val="18"/>
                <w:szCs w:val="18"/>
              </w:rPr>
              <w:t>capaces de examinar las áreas metropolitanas correctamente pequeñas</w:t>
            </w:r>
          </w:p>
          <w:p w:rsidR="009A6CC7" w:rsidRPr="000B1F75" w:rsidRDefault="009A6CC7" w:rsidP="00B0227C">
            <w:pPr>
              <w:autoSpaceDE w:val="0"/>
              <w:autoSpaceDN w:val="0"/>
              <w:adjustRightInd w:val="0"/>
              <w:rPr>
                <w:rFonts w:cs="Arial"/>
                <w:sz w:val="18"/>
                <w:szCs w:val="18"/>
              </w:rPr>
            </w:pPr>
            <w:r w:rsidRPr="000B1F75">
              <w:rPr>
                <w:rFonts w:cs="Arial"/>
                <w:sz w:val="18"/>
                <w:szCs w:val="18"/>
              </w:rPr>
              <w:lastRenderedPageBreak/>
              <w:t>y / o menos favorables condiciones de ingreso y de la vida urbana,</w:t>
            </w:r>
          </w:p>
          <w:p w:rsidR="009A6CC7" w:rsidRPr="000B1F75" w:rsidRDefault="009A6CC7" w:rsidP="00B0227C">
            <w:pPr>
              <w:autoSpaceDE w:val="0"/>
              <w:autoSpaceDN w:val="0"/>
              <w:adjustRightInd w:val="0"/>
              <w:rPr>
                <w:rFonts w:cs="Arial"/>
                <w:sz w:val="18"/>
                <w:szCs w:val="18"/>
              </w:rPr>
            </w:pPr>
            <w:r w:rsidRPr="000B1F75">
              <w:rPr>
                <w:rFonts w:cs="Arial"/>
                <w:sz w:val="18"/>
                <w:szCs w:val="18"/>
              </w:rPr>
              <w:t>implica, entre otras cosas.</w:t>
            </w:r>
          </w:p>
        </w:tc>
        <w:tc>
          <w:tcPr>
            <w:tcW w:w="1531" w:type="dxa"/>
          </w:tcPr>
          <w:p w:rsidR="009A6CC7" w:rsidRPr="000B1F75" w:rsidRDefault="009A6CC7" w:rsidP="00B0227C">
            <w:pPr>
              <w:autoSpaceDE w:val="0"/>
              <w:autoSpaceDN w:val="0"/>
              <w:adjustRightInd w:val="0"/>
              <w:rPr>
                <w:rFonts w:cs="Arial"/>
                <w:sz w:val="18"/>
                <w:szCs w:val="18"/>
              </w:rPr>
            </w:pPr>
            <w:r w:rsidRPr="000B1F75">
              <w:rPr>
                <w:rFonts w:cs="Arial"/>
                <w:sz w:val="18"/>
                <w:szCs w:val="18"/>
              </w:rPr>
              <w:lastRenderedPageBreak/>
              <w:t>Es notable que las estructuras económicas policéntricas aún están en desarrollo en América Latina, aunque se presentan concentraciones, estás son principalmente enfocadas al sector manufacturero el cual provee de muy pocas ganancias. Asimismo los resultados no son concluyentes debido a que existe un sesgo en la información del trabajo informal.</w:t>
            </w:r>
          </w:p>
        </w:tc>
        <w:tc>
          <w:tcPr>
            <w:tcW w:w="2125" w:type="dxa"/>
          </w:tcPr>
          <w:p w:rsidR="009A6CC7" w:rsidRPr="000B1F75" w:rsidRDefault="009A6CC7" w:rsidP="00B0227C">
            <w:pPr>
              <w:rPr>
                <w:sz w:val="18"/>
                <w:szCs w:val="18"/>
              </w:rPr>
            </w:pPr>
            <w:r w:rsidRPr="000B1F75">
              <w:rPr>
                <w:sz w:val="18"/>
                <w:szCs w:val="18"/>
              </w:rPr>
              <w:t>El estudio considera a México, el cual presenta aún una concentración en los centros de las Zonas Metropolitanas, que ha comenzado el proceso hacia una estructura policéntrica.</w:t>
            </w: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shd w:val="clear" w:color="auto" w:fill="auto"/>
          </w:tcPr>
          <w:p w:rsidR="009A6CC7" w:rsidRPr="000B1F75" w:rsidRDefault="009A6CC7" w:rsidP="00B0227C">
            <w:pPr>
              <w:autoSpaceDE w:val="0"/>
              <w:autoSpaceDN w:val="0"/>
              <w:adjustRightInd w:val="0"/>
              <w:rPr>
                <w:rFonts w:cs="Trebuchet MS"/>
                <w:sz w:val="18"/>
                <w:szCs w:val="18"/>
              </w:rPr>
            </w:pPr>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tr w:rsidR="009A6CC7" w:rsidRPr="000B1F75" w:rsidTr="009A6CC7">
        <w:tc>
          <w:tcPr>
            <w:tcW w:w="1951" w:type="dxa"/>
            <w:tcBorders>
              <w:bottom w:val="single" w:sz="4" w:space="0" w:color="D9D9D9" w:themeColor="background1" w:themeShade="D9"/>
            </w:tcBorders>
            <w:shd w:val="clear" w:color="auto" w:fill="auto"/>
          </w:tcPr>
          <w:p w:rsidR="009A6CC7" w:rsidRPr="000B1F75" w:rsidRDefault="009A6CC7" w:rsidP="00B0227C">
            <w:pPr>
              <w:autoSpaceDE w:val="0"/>
              <w:autoSpaceDN w:val="0"/>
              <w:adjustRightInd w:val="0"/>
              <w:rPr>
                <w:rFonts w:cs="Trebuchet MS"/>
                <w:sz w:val="18"/>
                <w:szCs w:val="18"/>
              </w:rPr>
            </w:pPr>
            <w:bookmarkStart w:id="0" w:name="_GoBack"/>
          </w:p>
        </w:tc>
        <w:tc>
          <w:tcPr>
            <w:tcW w:w="1843" w:type="dxa"/>
          </w:tcPr>
          <w:p w:rsidR="009A6CC7" w:rsidRPr="000B1F75" w:rsidRDefault="009A6CC7" w:rsidP="00B0227C">
            <w:pPr>
              <w:rPr>
                <w:sz w:val="18"/>
                <w:szCs w:val="18"/>
              </w:rPr>
            </w:pPr>
          </w:p>
        </w:tc>
        <w:tc>
          <w:tcPr>
            <w:tcW w:w="2126" w:type="dxa"/>
          </w:tcPr>
          <w:p w:rsidR="009A6CC7" w:rsidRPr="000B1F75" w:rsidRDefault="009A6CC7" w:rsidP="00B0227C">
            <w:pPr>
              <w:autoSpaceDE w:val="0"/>
              <w:autoSpaceDN w:val="0"/>
              <w:adjustRightInd w:val="0"/>
              <w:rPr>
                <w:sz w:val="18"/>
                <w:szCs w:val="18"/>
              </w:rPr>
            </w:pPr>
          </w:p>
        </w:tc>
        <w:tc>
          <w:tcPr>
            <w:tcW w:w="1134" w:type="dxa"/>
          </w:tcPr>
          <w:p w:rsidR="009A6CC7" w:rsidRPr="000B1F75" w:rsidRDefault="009A6CC7" w:rsidP="00B0227C">
            <w:pPr>
              <w:rPr>
                <w:sz w:val="18"/>
                <w:szCs w:val="18"/>
              </w:rPr>
            </w:pPr>
          </w:p>
        </w:tc>
        <w:tc>
          <w:tcPr>
            <w:tcW w:w="1305" w:type="dxa"/>
          </w:tcPr>
          <w:p w:rsidR="009A6CC7" w:rsidRPr="000B1F75" w:rsidRDefault="009A6CC7" w:rsidP="00B0227C">
            <w:pPr>
              <w:autoSpaceDE w:val="0"/>
              <w:autoSpaceDN w:val="0"/>
              <w:adjustRightInd w:val="0"/>
              <w:rPr>
                <w:b/>
                <w:sz w:val="18"/>
                <w:szCs w:val="18"/>
              </w:rPr>
            </w:pPr>
          </w:p>
        </w:tc>
        <w:tc>
          <w:tcPr>
            <w:tcW w:w="1105"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rPr>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1531" w:type="dxa"/>
          </w:tcPr>
          <w:p w:rsidR="009A6CC7" w:rsidRPr="000B1F75" w:rsidRDefault="009A6CC7" w:rsidP="00B0227C">
            <w:pPr>
              <w:autoSpaceDE w:val="0"/>
              <w:autoSpaceDN w:val="0"/>
              <w:adjustRightInd w:val="0"/>
              <w:rPr>
                <w:rFonts w:cs="Arial"/>
                <w:sz w:val="18"/>
                <w:szCs w:val="18"/>
              </w:rPr>
            </w:pPr>
          </w:p>
        </w:tc>
        <w:tc>
          <w:tcPr>
            <w:tcW w:w="2125" w:type="dxa"/>
          </w:tcPr>
          <w:p w:rsidR="009A6CC7" w:rsidRPr="000B1F75" w:rsidRDefault="009A6CC7" w:rsidP="00B0227C">
            <w:pPr>
              <w:rPr>
                <w:sz w:val="18"/>
                <w:szCs w:val="18"/>
              </w:rPr>
            </w:pPr>
          </w:p>
        </w:tc>
      </w:tr>
      <w:bookmarkEnd w:id="0"/>
    </w:tbl>
    <w:p w:rsidR="008C34C3" w:rsidRDefault="008C34C3"/>
    <w:sectPr w:rsidR="008C34C3" w:rsidSect="00353571">
      <w:pgSz w:w="20163" w:h="12242" w:orient="landscape" w:code="5"/>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dvOT6eb1388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2A1"/>
    <w:multiLevelType w:val="hybridMultilevel"/>
    <w:tmpl w:val="AEFCA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CD78D4"/>
    <w:multiLevelType w:val="hybridMultilevel"/>
    <w:tmpl w:val="DB062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B15C45"/>
    <w:multiLevelType w:val="hybridMultilevel"/>
    <w:tmpl w:val="F642D8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6A1528"/>
    <w:multiLevelType w:val="hybridMultilevel"/>
    <w:tmpl w:val="1B70F7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71284E"/>
    <w:multiLevelType w:val="hybridMultilevel"/>
    <w:tmpl w:val="2F009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C3"/>
    <w:rsid w:val="0000485D"/>
    <w:rsid w:val="0001518C"/>
    <w:rsid w:val="00030762"/>
    <w:rsid w:val="000A0EB8"/>
    <w:rsid w:val="000B1F75"/>
    <w:rsid w:val="000C169D"/>
    <w:rsid w:val="000D4D34"/>
    <w:rsid w:val="000D770E"/>
    <w:rsid w:val="000F0CB0"/>
    <w:rsid w:val="00134B63"/>
    <w:rsid w:val="00137798"/>
    <w:rsid w:val="00142ABC"/>
    <w:rsid w:val="00170E94"/>
    <w:rsid w:val="001B6C47"/>
    <w:rsid w:val="001E5D61"/>
    <w:rsid w:val="001F3AB7"/>
    <w:rsid w:val="00232F1B"/>
    <w:rsid w:val="0024035E"/>
    <w:rsid w:val="002678A3"/>
    <w:rsid w:val="0028273A"/>
    <w:rsid w:val="002A13C6"/>
    <w:rsid w:val="002D33F2"/>
    <w:rsid w:val="0030158C"/>
    <w:rsid w:val="00317109"/>
    <w:rsid w:val="00334DE3"/>
    <w:rsid w:val="00347FCF"/>
    <w:rsid w:val="0035002E"/>
    <w:rsid w:val="00353571"/>
    <w:rsid w:val="00382EBA"/>
    <w:rsid w:val="003F34AA"/>
    <w:rsid w:val="00447675"/>
    <w:rsid w:val="0048507A"/>
    <w:rsid w:val="004B341A"/>
    <w:rsid w:val="00515FBB"/>
    <w:rsid w:val="0054417F"/>
    <w:rsid w:val="00562259"/>
    <w:rsid w:val="005703BF"/>
    <w:rsid w:val="005A0EBF"/>
    <w:rsid w:val="005A6A04"/>
    <w:rsid w:val="005C0464"/>
    <w:rsid w:val="00606D86"/>
    <w:rsid w:val="00607102"/>
    <w:rsid w:val="006B0EC9"/>
    <w:rsid w:val="006E5B99"/>
    <w:rsid w:val="0073142A"/>
    <w:rsid w:val="007E0080"/>
    <w:rsid w:val="007F2C36"/>
    <w:rsid w:val="00831235"/>
    <w:rsid w:val="00834155"/>
    <w:rsid w:val="0085719B"/>
    <w:rsid w:val="00873313"/>
    <w:rsid w:val="008C2EB6"/>
    <w:rsid w:val="008C34C3"/>
    <w:rsid w:val="008E44FB"/>
    <w:rsid w:val="008F49D5"/>
    <w:rsid w:val="00925D98"/>
    <w:rsid w:val="009A6CC7"/>
    <w:rsid w:val="00A2435C"/>
    <w:rsid w:val="00A465E5"/>
    <w:rsid w:val="00A733DA"/>
    <w:rsid w:val="00AE68D7"/>
    <w:rsid w:val="00B0227C"/>
    <w:rsid w:val="00B12AAF"/>
    <w:rsid w:val="00B2059F"/>
    <w:rsid w:val="00B273B8"/>
    <w:rsid w:val="00B410FB"/>
    <w:rsid w:val="00B73EA8"/>
    <w:rsid w:val="00B84997"/>
    <w:rsid w:val="00C07DB7"/>
    <w:rsid w:val="00C425EC"/>
    <w:rsid w:val="00D0004A"/>
    <w:rsid w:val="00D4514C"/>
    <w:rsid w:val="00D52B8D"/>
    <w:rsid w:val="00D75F24"/>
    <w:rsid w:val="00D86515"/>
    <w:rsid w:val="00DD0A74"/>
    <w:rsid w:val="00DF2AE1"/>
    <w:rsid w:val="00E01EF5"/>
    <w:rsid w:val="00E407BE"/>
    <w:rsid w:val="00ED6974"/>
    <w:rsid w:val="00EE7BEF"/>
    <w:rsid w:val="00F1176E"/>
    <w:rsid w:val="00FC3E99"/>
    <w:rsid w:val="00FC4F9E"/>
    <w:rsid w:val="00FE022F"/>
    <w:rsid w:val="00FE6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9D3E"/>
  <w15:docId w15:val="{733F283A-7E73-40DA-90DB-03DA38BC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34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C34C3"/>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C34C3"/>
    <w:rPr>
      <w:rFonts w:eastAsiaTheme="minorEastAsia"/>
      <w:lang w:val="es-ES"/>
    </w:rPr>
  </w:style>
  <w:style w:type="paragraph" w:styleId="Textodeglobo">
    <w:name w:val="Balloon Text"/>
    <w:basedOn w:val="Normal"/>
    <w:link w:val="TextodegloboCar"/>
    <w:uiPriority w:val="99"/>
    <w:semiHidden/>
    <w:unhideWhenUsed/>
    <w:rsid w:val="008C3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4C3"/>
    <w:rPr>
      <w:rFonts w:ascii="Tahoma" w:hAnsi="Tahoma" w:cs="Tahoma"/>
      <w:sz w:val="16"/>
      <w:szCs w:val="16"/>
    </w:rPr>
  </w:style>
  <w:style w:type="table" w:styleId="Tablaconcuadrcula">
    <w:name w:val="Table Grid"/>
    <w:basedOn w:val="Tablanormal"/>
    <w:uiPriority w:val="59"/>
    <w:rsid w:val="0035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BEF"/>
    <w:pPr>
      <w:autoSpaceDE w:val="0"/>
      <w:autoSpaceDN w:val="0"/>
      <w:adjustRightInd w:val="0"/>
      <w:spacing w:after="0" w:line="240" w:lineRule="auto"/>
    </w:pPr>
    <w:rPr>
      <w:rFonts w:ascii="Optima" w:hAnsi="Optima" w:cs="Optima"/>
      <w:color w:val="000000"/>
      <w:sz w:val="24"/>
      <w:szCs w:val="24"/>
    </w:rPr>
  </w:style>
  <w:style w:type="character" w:customStyle="1" w:styleId="A0">
    <w:name w:val="A0"/>
    <w:uiPriority w:val="99"/>
    <w:rsid w:val="00EE7BEF"/>
    <w:rPr>
      <w:rFonts w:cs="Optima"/>
      <w:color w:val="000000"/>
      <w:sz w:val="16"/>
      <w:szCs w:val="16"/>
    </w:rPr>
  </w:style>
  <w:style w:type="paragraph" w:styleId="Prrafodelista">
    <w:name w:val="List Paragraph"/>
    <w:basedOn w:val="Normal"/>
    <w:uiPriority w:val="34"/>
    <w:qFormat/>
    <w:rsid w:val="00B2059F"/>
    <w:pPr>
      <w:ind w:left="720"/>
      <w:contextualSpacing/>
    </w:pPr>
  </w:style>
  <w:style w:type="character" w:customStyle="1" w:styleId="normalchar">
    <w:name w:val="normal__char"/>
    <w:basedOn w:val="Fuentedeprrafopredeter"/>
    <w:rsid w:val="00334DE3"/>
  </w:style>
  <w:style w:type="character" w:customStyle="1" w:styleId="apple-converted-space">
    <w:name w:val="apple-converted-space"/>
    <w:basedOn w:val="Fuentedeprrafopredeter"/>
    <w:rsid w:val="00334DE3"/>
  </w:style>
  <w:style w:type="character" w:customStyle="1" w:styleId="pa9char">
    <w:name w:val="pa9__char"/>
    <w:basedOn w:val="Fuentedeprrafopredeter"/>
    <w:rsid w:val="00334DE3"/>
  </w:style>
  <w:style w:type="character" w:customStyle="1" w:styleId="pa8char">
    <w:name w:val="pa8__char"/>
    <w:basedOn w:val="Fuentedeprrafopredeter"/>
    <w:rsid w:val="00334DE3"/>
  </w:style>
  <w:style w:type="character" w:customStyle="1" w:styleId="pa11char">
    <w:name w:val="pa11__char"/>
    <w:basedOn w:val="Fuentedeprrafopredeter"/>
    <w:rsid w:val="00334DE3"/>
  </w:style>
  <w:style w:type="table" w:customStyle="1" w:styleId="Tablaconcuadrcula1">
    <w:name w:val="Tabla con cuadrícula1"/>
    <w:basedOn w:val="Tablanormal"/>
    <w:next w:val="Tablaconcuadrcula"/>
    <w:uiPriority w:val="59"/>
    <w:rsid w:val="0001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1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1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1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79797">
      <w:bodyDiv w:val="1"/>
      <w:marLeft w:val="0"/>
      <w:marRight w:val="0"/>
      <w:marTop w:val="0"/>
      <w:marBottom w:val="0"/>
      <w:divBdr>
        <w:top w:val="none" w:sz="0" w:space="0" w:color="auto"/>
        <w:left w:val="none" w:sz="0" w:space="0" w:color="auto"/>
        <w:bottom w:val="none" w:sz="0" w:space="0" w:color="auto"/>
        <w:right w:val="none" w:sz="0" w:space="0" w:color="auto"/>
      </w:divBdr>
    </w:div>
    <w:div w:id="716779497">
      <w:bodyDiv w:val="1"/>
      <w:marLeft w:val="0"/>
      <w:marRight w:val="0"/>
      <w:marTop w:val="0"/>
      <w:marBottom w:val="0"/>
      <w:divBdr>
        <w:top w:val="none" w:sz="0" w:space="0" w:color="auto"/>
        <w:left w:val="none" w:sz="0" w:space="0" w:color="auto"/>
        <w:bottom w:val="none" w:sz="0" w:space="0" w:color="auto"/>
        <w:right w:val="none" w:sz="0" w:space="0" w:color="auto"/>
      </w:divBdr>
    </w:div>
    <w:div w:id="914819881">
      <w:bodyDiv w:val="1"/>
      <w:marLeft w:val="0"/>
      <w:marRight w:val="0"/>
      <w:marTop w:val="0"/>
      <w:marBottom w:val="0"/>
      <w:divBdr>
        <w:top w:val="none" w:sz="0" w:space="0" w:color="auto"/>
        <w:left w:val="none" w:sz="0" w:space="0" w:color="auto"/>
        <w:bottom w:val="none" w:sz="0" w:space="0" w:color="auto"/>
        <w:right w:val="none" w:sz="0" w:space="0" w:color="auto"/>
      </w:divBdr>
    </w:div>
    <w:div w:id="1036585002">
      <w:bodyDiv w:val="1"/>
      <w:marLeft w:val="0"/>
      <w:marRight w:val="0"/>
      <w:marTop w:val="0"/>
      <w:marBottom w:val="0"/>
      <w:divBdr>
        <w:top w:val="none" w:sz="0" w:space="0" w:color="auto"/>
        <w:left w:val="none" w:sz="0" w:space="0" w:color="auto"/>
        <w:bottom w:val="none" w:sz="0" w:space="0" w:color="auto"/>
        <w:right w:val="none" w:sz="0" w:space="0" w:color="auto"/>
      </w:divBdr>
    </w:div>
    <w:div w:id="1405908839">
      <w:bodyDiv w:val="1"/>
      <w:marLeft w:val="0"/>
      <w:marRight w:val="0"/>
      <w:marTop w:val="0"/>
      <w:marBottom w:val="0"/>
      <w:divBdr>
        <w:top w:val="none" w:sz="0" w:space="0" w:color="auto"/>
        <w:left w:val="none" w:sz="0" w:space="0" w:color="auto"/>
        <w:bottom w:val="none" w:sz="0" w:space="0" w:color="auto"/>
        <w:right w:val="none" w:sz="0" w:space="0" w:color="auto"/>
      </w:divBdr>
    </w:div>
    <w:div w:id="1969244215">
      <w:bodyDiv w:val="1"/>
      <w:marLeft w:val="0"/>
      <w:marRight w:val="0"/>
      <w:marTop w:val="0"/>
      <w:marBottom w:val="0"/>
      <w:divBdr>
        <w:top w:val="none" w:sz="0" w:space="0" w:color="auto"/>
        <w:left w:val="none" w:sz="0" w:space="0" w:color="auto"/>
        <w:bottom w:val="none" w:sz="0" w:space="0" w:color="auto"/>
        <w:right w:val="none" w:sz="0" w:space="0" w:color="auto"/>
      </w:divBdr>
    </w:div>
    <w:div w:id="20705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dc:creator>
  <cp:lastModifiedBy>ANTONIO</cp:lastModifiedBy>
  <cp:revision>20</cp:revision>
  <dcterms:created xsi:type="dcterms:W3CDTF">2015-04-23T23:01:00Z</dcterms:created>
  <dcterms:modified xsi:type="dcterms:W3CDTF">2016-09-07T00:21:00Z</dcterms:modified>
</cp:coreProperties>
</file>